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rFonts w:ascii="Arial" w:cs="Arial" w:hAnsi="Arial"/>
          <w:b/>
          <w:sz w:val="24"/>
          <w:szCs w:val="24"/>
          <w:lang w:val="mn-MN"/>
        </w:rPr>
        <w:t>Төсөл</w:t>
      </w:r>
    </w:p>
    <w:p>
      <w:pPr>
        <w:pStyle w:val="style0"/>
      </w:pPr>
      <w:r>
        <w:rPr/>
      </w:r>
    </w:p>
    <w:p>
      <w:pPr>
        <w:pStyle w:val="style0"/>
        <w:jc w:val="center"/>
      </w:pPr>
      <w:r>
        <w:rPr>
          <w:rFonts w:ascii="Arial" w:cs="Arial" w:hAnsi="Arial"/>
          <w:b/>
          <w:sz w:val="24"/>
          <w:szCs w:val="24"/>
          <w:lang w:val="mn-MN"/>
        </w:rPr>
        <w:t>МОНГОЛ УЛСЫН ХУУЛЬ</w:t>
      </w:r>
    </w:p>
    <w:p>
      <w:pPr>
        <w:pStyle w:val="style0"/>
      </w:pPr>
      <w:r>
        <w:rPr/>
      </w:r>
    </w:p>
    <w:p>
      <w:pPr>
        <w:pStyle w:val="style0"/>
      </w:pPr>
      <w:r>
        <w:rPr>
          <w:rFonts w:ascii="Arial" w:cs="Arial" w:hAnsi="Arial"/>
          <w:lang w:val="mn-MN"/>
        </w:rPr>
        <w:t xml:space="preserve">20... оны .. дугаар </w:t>
        <w:tab/>
        <w:tab/>
        <w:tab/>
        <w:tab/>
        <w:tab/>
        <w:tab/>
        <w:tab/>
        <w:tab/>
        <w:t xml:space="preserve">           Улаанбаатар</w:t>
        <w:br/>
        <w:t xml:space="preserve">сарын .. –ны өдөр </w:t>
        <w:tab/>
        <w:tab/>
        <w:tab/>
        <w:tab/>
        <w:tab/>
        <w:tab/>
        <w:tab/>
        <w:tab/>
        <w:tab/>
        <w:t xml:space="preserve">         хот</w:t>
      </w:r>
    </w:p>
    <w:p>
      <w:pPr>
        <w:pStyle w:val="style0"/>
      </w:pPr>
      <w:r>
        <w:rPr/>
      </w:r>
    </w:p>
    <w:p>
      <w:pPr>
        <w:pStyle w:val="style0"/>
        <w:jc w:val="center"/>
      </w:pPr>
      <w:r>
        <w:rPr>
          <w:rFonts w:ascii="Arial" w:cs="Arial" w:hAnsi="Arial"/>
          <w:b/>
          <w:sz w:val="24"/>
          <w:szCs w:val="24"/>
          <w:lang w:val="mn-MN"/>
        </w:rPr>
        <w:t xml:space="preserve">МАЛЧНЫ </w:t>
      </w:r>
      <w:r>
        <w:rPr>
          <w:rFonts w:ascii="Arial" w:cs="Arial" w:hAnsi="Arial"/>
          <w:b/>
          <w:sz w:val="24"/>
          <w:szCs w:val="24"/>
        </w:rPr>
        <w:t>ТЭТГЭВРИЙН ДААТГАЛЫН</w:t>
        <w:br/>
        <w:t>ШИМТГЭЛИЙГ НӨХӨН Т</w:t>
      </w:r>
      <w:r>
        <w:rPr>
          <w:rFonts w:ascii="Arial" w:cs="Arial" w:hAnsi="Arial"/>
          <w:b/>
          <w:sz w:val="24"/>
          <w:szCs w:val="24"/>
          <w:lang w:val="mn-MN"/>
        </w:rPr>
        <w:t xml:space="preserve">ӨЛҮҮЛЭХ </w:t>
      </w:r>
      <w:r>
        <w:rPr>
          <w:rFonts w:ascii="Arial" w:cs="Arial" w:hAnsi="Arial"/>
          <w:b/>
          <w:sz w:val="24"/>
          <w:szCs w:val="24"/>
        </w:rPr>
        <w:t>ТУХАЙ</w:t>
      </w:r>
    </w:p>
    <w:p>
      <w:pPr>
        <w:pStyle w:val="style0"/>
        <w:jc w:val="center"/>
      </w:pPr>
      <w:r>
        <w:rPr/>
      </w:r>
    </w:p>
    <w:p>
      <w:pPr>
        <w:pStyle w:val="style0"/>
        <w:jc w:val="both"/>
      </w:pPr>
      <w:r>
        <w:rPr>
          <w:rFonts w:ascii="Arial" w:cs="Arial" w:hAnsi="Arial"/>
          <w:sz w:val="24"/>
          <w:szCs w:val="24"/>
        </w:rPr>
        <w:tab/>
      </w:r>
      <w:r>
        <w:rPr>
          <w:rFonts w:ascii="Arial" w:cs="Arial" w:hAnsi="Arial"/>
          <w:b/>
          <w:bCs/>
          <w:sz w:val="24"/>
          <w:szCs w:val="24"/>
        </w:rPr>
        <w:t xml:space="preserve">1 дүгээр зүйл </w:t>
      </w:r>
      <w:r>
        <w:rPr>
          <w:rFonts w:ascii="Arial" w:cs="Arial" w:hAnsi="Arial"/>
          <w:sz w:val="24"/>
          <w:szCs w:val="24"/>
        </w:rPr>
        <w:t>Хуулийн зорилт</w:t>
      </w:r>
    </w:p>
    <w:p>
      <w:pPr>
        <w:pStyle w:val="style0"/>
        <w:jc w:val="both"/>
      </w:pPr>
      <w:r>
        <w:rPr>
          <w:rFonts w:ascii="Arial" w:cs="Arial" w:hAnsi="Arial"/>
          <w:sz w:val="24"/>
          <w:szCs w:val="24"/>
        </w:rPr>
        <w:t xml:space="preserve">     </w:t>
      </w:r>
      <w:r>
        <w:rPr>
          <w:rFonts w:ascii="Arial" w:cs="Arial" w:hAnsi="Arial"/>
          <w:sz w:val="24"/>
          <w:szCs w:val="24"/>
        </w:rPr>
        <w:tab/>
      </w:r>
      <w:r>
        <w:rPr>
          <w:rFonts w:ascii="Arial" w:cs="Arial" w:hAnsi="Arial"/>
          <w:b/>
          <w:bCs/>
          <w:sz w:val="24"/>
          <w:szCs w:val="24"/>
        </w:rPr>
        <w:t>1.1.</w:t>
      </w:r>
      <w:r>
        <w:rPr>
          <w:rFonts w:ascii="Arial" w:cs="Arial" w:hAnsi="Arial"/>
          <w:sz w:val="24"/>
          <w:szCs w:val="24"/>
        </w:rPr>
        <w:t xml:space="preserve"> Энэ хуулийн зорилт нь</w:t>
      </w:r>
      <w:r>
        <w:rPr>
          <w:rFonts w:ascii="Arial" w:cs="Arial" w:hAnsi="Arial"/>
          <w:sz w:val="24"/>
          <w:szCs w:val="24"/>
          <w:lang w:val="mn-MN"/>
        </w:rPr>
        <w:t xml:space="preserve"> нийгмийн шилжилтийн явцад эдийн засаг,  хөдөлмөр эрхлэлтийн бүтцэд гарсан өөрчлөлт болон мал аж ахуйн үйлдвэрлэлийн онцлог, хөдөлмөр, нийгмийн даатгалын талаарх хууль тогтоомжийн шинэчлэл зэргээс</w:t>
      </w:r>
      <w:r>
        <w:rPr>
          <w:rFonts w:ascii="Arial" w:cs="Arial" w:hAnsi="Arial"/>
          <w:sz w:val="24"/>
          <w:szCs w:val="24"/>
        </w:rPr>
        <w:t xml:space="preserve"> </w:t>
      </w:r>
      <w:r>
        <w:rPr>
          <w:rFonts w:ascii="Arial" w:cs="Arial" w:hAnsi="Arial"/>
          <w:sz w:val="24"/>
          <w:szCs w:val="24"/>
          <w:lang w:val="mn-MN"/>
        </w:rPr>
        <w:t xml:space="preserve">шалтгаалан тэтгэврийн даатгалын шимтгэлээ төлөөгүй иргэн малчнаар ажилласан хугацааны тэтгэврийн даатгалын шимтгэлээ нэг удаа нөхөн төлөхтэй холбогдсон харилцааг </w:t>
      </w:r>
      <w:r>
        <w:rPr>
          <w:rFonts w:ascii="Arial" w:cs="Arial" w:hAnsi="Arial"/>
          <w:sz w:val="24"/>
          <w:szCs w:val="24"/>
        </w:rPr>
        <w:t>зохицуулахад оршино.</w:t>
      </w:r>
    </w:p>
    <w:p>
      <w:pPr>
        <w:pStyle w:val="style0"/>
        <w:jc w:val="both"/>
      </w:pPr>
      <w:r>
        <w:rPr>
          <w:rFonts w:ascii="Arial" w:cs="Arial" w:hAnsi="Arial"/>
          <w:sz w:val="24"/>
          <w:szCs w:val="24"/>
        </w:rPr>
        <w:tab/>
      </w:r>
      <w:r>
        <w:rPr>
          <w:rFonts w:ascii="Arial" w:cs="Arial" w:hAnsi="Arial"/>
          <w:b/>
          <w:bCs/>
          <w:sz w:val="24"/>
          <w:szCs w:val="24"/>
        </w:rPr>
        <w:t xml:space="preserve">2 дугаар зүйл </w:t>
      </w:r>
      <w:r>
        <w:rPr>
          <w:rFonts w:ascii="Arial" w:cs="Arial" w:hAnsi="Arial"/>
          <w:sz w:val="24"/>
          <w:szCs w:val="24"/>
          <w:lang w:val="mn-MN"/>
        </w:rPr>
        <w:t xml:space="preserve">Малчны </w:t>
      </w:r>
      <w:r>
        <w:rPr>
          <w:rFonts w:ascii="Arial" w:cs="Arial" w:hAnsi="Arial"/>
          <w:sz w:val="24"/>
          <w:szCs w:val="24"/>
        </w:rPr>
        <w:t>тэтгэврийн даатгалын шимтгэлийг нөхөн</w:t>
      </w:r>
      <w:r>
        <w:rPr>
          <w:rFonts w:ascii="Arial" w:cs="Arial" w:hAnsi="Arial"/>
          <w:sz w:val="24"/>
          <w:szCs w:val="24"/>
          <w:lang w:val="mn-MN"/>
        </w:rPr>
        <w:t xml:space="preserve"> төлүүлэх </w:t>
      </w:r>
      <w:r>
        <w:rPr>
          <w:rFonts w:ascii="Arial" w:cs="Arial" w:hAnsi="Arial"/>
          <w:sz w:val="24"/>
          <w:szCs w:val="24"/>
        </w:rPr>
        <w:t>тухай хууль тогтоомж</w:t>
      </w:r>
    </w:p>
    <w:p>
      <w:pPr>
        <w:pStyle w:val="style0"/>
        <w:jc w:val="both"/>
      </w:pPr>
      <w:r>
        <w:rPr>
          <w:rFonts w:ascii="Arial" w:cs="Arial" w:hAnsi="Arial"/>
          <w:sz w:val="24"/>
          <w:szCs w:val="24"/>
        </w:rPr>
        <w:t xml:space="preserve">     </w:t>
      </w:r>
      <w:r>
        <w:rPr>
          <w:rFonts w:ascii="Arial" w:cs="Arial" w:hAnsi="Arial"/>
          <w:sz w:val="24"/>
          <w:szCs w:val="24"/>
        </w:rPr>
        <w:tab/>
      </w:r>
      <w:r>
        <w:rPr>
          <w:rFonts w:ascii="Arial" w:cs="Arial" w:hAnsi="Arial"/>
          <w:b/>
          <w:bCs/>
          <w:sz w:val="24"/>
          <w:szCs w:val="24"/>
        </w:rPr>
        <w:t>2.1.</w:t>
      </w:r>
      <w:r>
        <w:rPr>
          <w:rFonts w:ascii="Arial" w:cs="Arial" w:hAnsi="Arial"/>
          <w:sz w:val="24"/>
          <w:szCs w:val="24"/>
        </w:rPr>
        <w:t xml:space="preserve"> </w:t>
      </w:r>
      <w:r>
        <w:rPr>
          <w:rFonts w:ascii="Arial" w:cs="Arial" w:hAnsi="Arial"/>
          <w:sz w:val="24"/>
          <w:szCs w:val="24"/>
          <w:lang w:val="mn-MN"/>
        </w:rPr>
        <w:t xml:space="preserve">Малчны </w:t>
      </w:r>
      <w:r>
        <w:rPr>
          <w:rFonts w:ascii="Arial" w:cs="Arial" w:hAnsi="Arial"/>
          <w:sz w:val="24"/>
          <w:szCs w:val="24"/>
        </w:rPr>
        <w:t>тэтгэврийн даатгалын шимтгэлийг нөхөн т</w:t>
      </w:r>
      <w:r>
        <w:rPr>
          <w:rFonts w:ascii="Arial" w:cs="Arial" w:hAnsi="Arial"/>
          <w:sz w:val="24"/>
          <w:szCs w:val="24"/>
          <w:lang w:val="mn-MN"/>
        </w:rPr>
        <w:t xml:space="preserve">өлүүлэх </w:t>
      </w:r>
      <w:r>
        <w:rPr>
          <w:rFonts w:ascii="Arial" w:cs="Arial" w:hAnsi="Arial"/>
          <w:sz w:val="24"/>
          <w:szCs w:val="24"/>
        </w:rPr>
        <w:t xml:space="preserve">тухай хууль тогтоомж нь Монгол Улсын Үндсэн хууль, </w:t>
      </w:r>
      <w:r>
        <w:rPr>
          <w:rFonts w:ascii="Arial" w:cs="Arial" w:hAnsi="Arial"/>
          <w:sz w:val="24"/>
          <w:szCs w:val="24"/>
          <w:lang w:val="mn-MN"/>
        </w:rPr>
        <w:t xml:space="preserve">Хөдөлмөрийн тухай хууль, </w:t>
      </w:r>
      <w:r>
        <w:rPr>
          <w:rFonts w:ascii="Arial" w:cs="Arial" w:hAnsi="Arial"/>
          <w:sz w:val="24"/>
          <w:szCs w:val="24"/>
        </w:rPr>
        <w:t>Хөдөлмөр</w:t>
      </w:r>
      <w:r>
        <w:rPr>
          <w:rFonts w:ascii="Arial" w:cs="Arial" w:hAnsi="Arial"/>
          <w:sz w:val="24"/>
          <w:szCs w:val="24"/>
          <w:lang w:val="mn-MN"/>
        </w:rPr>
        <w:t xml:space="preserve"> эрхлэлтийг дэмжих</w:t>
      </w:r>
      <w:r>
        <w:rPr>
          <w:rFonts w:ascii="Arial" w:cs="Arial" w:hAnsi="Arial"/>
          <w:sz w:val="24"/>
          <w:szCs w:val="24"/>
        </w:rPr>
        <w:t xml:space="preserve"> тухай</w:t>
      </w:r>
      <w:r>
        <w:rPr>
          <w:rFonts w:ascii="Arial" w:cs="Arial" w:hAnsi="Arial"/>
          <w:sz w:val="24"/>
          <w:szCs w:val="24"/>
          <w:lang w:val="mn-MN"/>
        </w:rPr>
        <w:t xml:space="preserve"> хууль</w:t>
      </w:r>
      <w:r>
        <w:rPr>
          <w:rFonts w:ascii="Arial" w:cs="Arial" w:hAnsi="Arial"/>
          <w:sz w:val="24"/>
          <w:szCs w:val="24"/>
        </w:rPr>
        <w:t>, Нийгмийн даатгалын тухай</w:t>
      </w:r>
      <w:r>
        <w:rPr>
          <w:rFonts w:ascii="Arial" w:cs="Arial" w:hAnsi="Arial"/>
          <w:sz w:val="24"/>
          <w:szCs w:val="24"/>
          <w:lang w:val="mn-MN"/>
        </w:rPr>
        <w:t xml:space="preserve"> хууль</w:t>
      </w:r>
      <w:r>
        <w:rPr>
          <w:rFonts w:ascii="Arial" w:cs="Arial" w:hAnsi="Arial"/>
          <w:sz w:val="24"/>
          <w:szCs w:val="24"/>
        </w:rPr>
        <w:t>, Нийгмийн даатгалын сангаас олгох тэтгэвэр, тэтгэмжийн тухай</w:t>
      </w:r>
      <w:r>
        <w:rPr>
          <w:rFonts w:ascii="Arial" w:cs="Arial" w:hAnsi="Arial"/>
          <w:sz w:val="24"/>
          <w:szCs w:val="24"/>
          <w:lang w:val="mn-MN"/>
        </w:rPr>
        <w:t xml:space="preserve"> хууль</w:t>
      </w:r>
      <w:r>
        <w:rPr>
          <w:rFonts w:ascii="Arial" w:cs="Arial" w:hAnsi="Arial"/>
          <w:sz w:val="24"/>
          <w:szCs w:val="24"/>
        </w:rPr>
        <w:t>, энэ хууль болон эдгээр</w:t>
      </w:r>
      <w:r>
        <w:rPr>
          <w:rFonts w:ascii="Arial" w:cs="Arial" w:hAnsi="Arial"/>
          <w:sz w:val="24"/>
          <w:szCs w:val="24"/>
          <w:lang w:val="mn-MN"/>
        </w:rPr>
        <w:t>тэй</w:t>
      </w:r>
      <w:r>
        <w:rPr>
          <w:rFonts w:ascii="Arial" w:cs="Arial" w:hAnsi="Arial"/>
          <w:sz w:val="24"/>
          <w:szCs w:val="24"/>
        </w:rPr>
        <w:t xml:space="preserve"> нийцүүлэн гаргасан хууль тогтоомжийн бусад актаас бүрдэнэ.</w:t>
      </w:r>
    </w:p>
    <w:p>
      <w:pPr>
        <w:pStyle w:val="style0"/>
        <w:jc w:val="both"/>
      </w:pPr>
      <w:r>
        <w:rPr>
          <w:rFonts w:ascii="Arial" w:cs="Arial" w:hAnsi="Arial"/>
          <w:b/>
          <w:bCs/>
          <w:sz w:val="24"/>
          <w:szCs w:val="24"/>
        </w:rPr>
        <w:tab/>
        <w:t xml:space="preserve">3 дугаар зүйл </w:t>
      </w:r>
      <w:r>
        <w:rPr>
          <w:rFonts w:ascii="Arial" w:cs="Arial" w:hAnsi="Arial"/>
          <w:sz w:val="24"/>
          <w:szCs w:val="24"/>
        </w:rPr>
        <w:t>Хуулийн нэр томьёоны тодорхойлолт</w:t>
      </w:r>
    </w:p>
    <w:p>
      <w:pPr>
        <w:pStyle w:val="style0"/>
        <w:jc w:val="both"/>
      </w:pPr>
      <w:r>
        <w:rPr>
          <w:rFonts w:ascii="Arial" w:cs="Arial" w:hAnsi="Arial"/>
          <w:sz w:val="24"/>
          <w:szCs w:val="24"/>
        </w:rPr>
        <w:tab/>
      </w:r>
      <w:r>
        <w:rPr>
          <w:rFonts w:ascii="Arial" w:cs="Arial" w:hAnsi="Arial"/>
          <w:b/>
          <w:bCs/>
          <w:sz w:val="24"/>
          <w:szCs w:val="24"/>
        </w:rPr>
        <w:t>3.1.</w:t>
      </w:r>
      <w:r>
        <w:rPr>
          <w:rFonts w:ascii="Arial" w:cs="Arial" w:hAnsi="Arial"/>
          <w:sz w:val="24"/>
          <w:szCs w:val="24"/>
        </w:rPr>
        <w:t xml:space="preserve"> Энэ хуульд хэрэглэсэн дараах нэр томьёог дор дурдсан утгаар ойлгоно:</w:t>
      </w:r>
    </w:p>
    <w:p>
      <w:pPr>
        <w:pStyle w:val="style0"/>
        <w:jc w:val="both"/>
      </w:pPr>
      <w:r>
        <w:rPr>
          <w:rFonts w:ascii="Arial" w:cs="Arial" w:hAnsi="Arial"/>
          <w:sz w:val="24"/>
          <w:szCs w:val="24"/>
        </w:rPr>
        <w:tab/>
        <w:tab/>
      </w:r>
      <w:r>
        <w:rPr>
          <w:rFonts w:ascii="Arial" w:cs="Arial" w:hAnsi="Arial"/>
          <w:b/>
          <w:bCs/>
          <w:sz w:val="24"/>
          <w:szCs w:val="24"/>
        </w:rPr>
        <w:t>3.1.1.</w:t>
      </w:r>
      <w:r>
        <w:rPr>
          <w:rFonts w:ascii="Arial" w:cs="Arial" w:hAnsi="Arial"/>
          <w:sz w:val="24"/>
          <w:szCs w:val="24"/>
        </w:rPr>
        <w:t xml:space="preserve"> “</w:t>
      </w:r>
      <w:r>
        <w:rPr>
          <w:rFonts w:ascii="Arial" w:cs="Arial" w:hAnsi="Arial"/>
          <w:sz w:val="24"/>
          <w:szCs w:val="24"/>
          <w:lang w:val="mn-MN"/>
        </w:rPr>
        <w:t>малчин” гэж Хөдөлмөр эрхлэлтийг дэмжих тухай хуулийн 3.1.9-д заасан иргэнийг:</w:t>
      </w:r>
    </w:p>
    <w:p>
      <w:pPr>
        <w:pStyle w:val="style0"/>
        <w:jc w:val="both"/>
      </w:pPr>
      <w:r>
        <w:rPr>
          <w:rFonts w:ascii="Arial" w:cs="Arial" w:hAnsi="Arial"/>
          <w:sz w:val="24"/>
          <w:szCs w:val="24"/>
          <w:lang w:val="mn-MN"/>
        </w:rPr>
        <w:tab/>
        <w:tab/>
      </w:r>
      <w:r>
        <w:rPr>
          <w:rFonts w:ascii="Arial" w:cs="Arial" w:hAnsi="Arial"/>
          <w:b/>
          <w:bCs/>
          <w:sz w:val="24"/>
          <w:szCs w:val="24"/>
          <w:lang w:val="mn-MN"/>
        </w:rPr>
        <w:t>3.1.2</w:t>
      </w:r>
      <w:r>
        <w:rPr>
          <w:rFonts w:ascii="Arial" w:cs="Arial" w:hAnsi="Arial"/>
          <w:sz w:val="24"/>
          <w:szCs w:val="24"/>
          <w:lang w:val="mn-MN"/>
        </w:rPr>
        <w:t xml:space="preserve"> “</w:t>
      </w:r>
      <w:r>
        <w:rPr>
          <w:rFonts w:ascii="Arial" w:cs="Arial" w:hAnsi="Arial"/>
          <w:sz w:val="24"/>
          <w:szCs w:val="24"/>
        </w:rPr>
        <w:t>тэтгэврийн даатгалын шимтгэлийг нөхөн т</w:t>
      </w:r>
      <w:r>
        <w:rPr>
          <w:rFonts w:ascii="Arial" w:cs="Arial" w:hAnsi="Arial"/>
          <w:sz w:val="24"/>
          <w:szCs w:val="24"/>
          <w:lang w:val="mn-MN"/>
        </w:rPr>
        <w:t>өлүүлэх</w:t>
      </w:r>
      <w:r>
        <w:rPr>
          <w:rFonts w:ascii="Arial" w:cs="Arial" w:hAnsi="Arial"/>
          <w:sz w:val="24"/>
          <w:szCs w:val="24"/>
        </w:rPr>
        <w:t>” гэж нийгмийн шилжилтийн явцад</w:t>
      </w:r>
      <w:r>
        <w:rPr>
          <w:rFonts w:ascii="Arial" w:cs="Arial" w:hAnsi="Arial"/>
          <w:sz w:val="24"/>
          <w:szCs w:val="24"/>
          <w:lang w:val="mn-MN"/>
        </w:rPr>
        <w:t xml:space="preserve"> эдийн засаг,  хөдөлмөр эрхлэлтийн бүтцэд гарсан өөрчлөлт болон мал аж ахуйн үйлдвэрлэлийн онцлог, хөдөлмөр, нийгмийн даатгалын талаарх хууль тогтоомжийн шинэчлэл зэргээс шалтгаалан тэтгэврийн даатгалын шимтгэл төлөөгүй иргэний малчнаар ажилласан хугацааны тэтгэврийн даатгалын шимтгэлийг тухайн үед мөрдөгдөж байсан хөдөлмөрийн хөлсний доод хэмжээнээс тооцож төлүүлэх нэг удаагийн арга хэмжээг. </w:t>
      </w:r>
    </w:p>
    <w:p>
      <w:pPr>
        <w:pStyle w:val="style0"/>
        <w:jc w:val="both"/>
      </w:pPr>
      <w:r>
        <w:rPr>
          <w:rFonts w:ascii="Arial" w:cs="Arial" w:hAnsi="Arial"/>
          <w:b/>
          <w:bCs/>
          <w:sz w:val="24"/>
          <w:szCs w:val="24"/>
        </w:rPr>
        <w:tab/>
        <w:t xml:space="preserve">4 дүгээр зүйл </w:t>
      </w:r>
      <w:r>
        <w:rPr>
          <w:rFonts w:ascii="Arial" w:cs="Arial" w:hAnsi="Arial"/>
          <w:sz w:val="24"/>
          <w:szCs w:val="24"/>
        </w:rPr>
        <w:t xml:space="preserve">Хуулийн үйлчлэх хүрээ </w:t>
      </w:r>
    </w:p>
    <w:p>
      <w:pPr>
        <w:pStyle w:val="style0"/>
        <w:jc w:val="both"/>
      </w:pPr>
      <w:r>
        <w:rPr>
          <w:rFonts w:ascii="Arial" w:cs="Arial" w:hAnsi="Arial"/>
          <w:sz w:val="24"/>
          <w:szCs w:val="24"/>
        </w:rPr>
        <w:tab/>
      </w:r>
      <w:r>
        <w:rPr>
          <w:rFonts w:ascii="Arial" w:cs="Arial" w:hAnsi="Arial"/>
          <w:b/>
          <w:bCs/>
          <w:sz w:val="24"/>
          <w:szCs w:val="24"/>
        </w:rPr>
        <w:t>4.1.</w:t>
      </w:r>
      <w:r>
        <w:rPr>
          <w:rFonts w:ascii="Arial" w:cs="Arial" w:hAnsi="Arial"/>
          <w:sz w:val="24"/>
          <w:szCs w:val="24"/>
        </w:rPr>
        <w:t xml:space="preserve"> Энэ хуулийн үйлчлэлд</w:t>
      </w:r>
      <w:r>
        <w:rPr>
          <w:rFonts w:ascii="Arial" w:cs="Arial" w:hAnsi="Arial"/>
          <w:sz w:val="24"/>
          <w:szCs w:val="24"/>
          <w:lang w:val="mn-MN"/>
        </w:rPr>
        <w:t xml:space="preserve"> 1995 - 2015 онд малчнаар ажиллаж байсан, шимтгэлээ төлж чадаагүй буюу төлөх боломжгүй байсан дараах иргэн хамаарна:</w:t>
      </w:r>
    </w:p>
    <w:p>
      <w:pPr>
        <w:pStyle w:val="style0"/>
        <w:jc w:val="both"/>
      </w:pPr>
      <w:r>
        <w:rPr>
          <w:rFonts w:ascii="Arial" w:cs="Arial" w:hAnsi="Arial"/>
          <w:sz w:val="24"/>
          <w:szCs w:val="24"/>
          <w:lang w:val="mn-MN"/>
        </w:rPr>
        <w:tab/>
        <w:tab/>
      </w:r>
      <w:r>
        <w:rPr>
          <w:rFonts w:ascii="Arial" w:cs="Arial" w:hAnsi="Arial"/>
          <w:b/>
          <w:bCs/>
          <w:sz w:val="24"/>
          <w:szCs w:val="24"/>
          <w:lang w:val="mn-MN"/>
        </w:rPr>
        <w:t>4.1.1</w:t>
      </w:r>
      <w:r>
        <w:rPr>
          <w:rFonts w:ascii="Arial" w:cs="Arial" w:hAnsi="Arial"/>
          <w:sz w:val="24"/>
          <w:szCs w:val="24"/>
          <w:lang w:val="mn-MN"/>
        </w:rPr>
        <w:t>. 15 – 60 насны</w:t>
      </w:r>
      <w:r>
        <w:rPr>
          <w:rFonts w:ascii="Arial" w:cs="Arial" w:hAnsi="Arial"/>
          <w:sz w:val="24"/>
          <w:szCs w:val="24"/>
        </w:rPr>
        <w:t>;</w:t>
      </w:r>
    </w:p>
    <w:p>
      <w:pPr>
        <w:pStyle w:val="style0"/>
        <w:jc w:val="both"/>
      </w:pPr>
      <w:r>
        <w:rPr>
          <w:rFonts w:ascii="Arial" w:cs="Arial" w:hAnsi="Arial"/>
          <w:sz w:val="24"/>
          <w:szCs w:val="24"/>
          <w:lang w:val="mn-MN"/>
        </w:rPr>
        <w:tab/>
        <w:tab/>
      </w:r>
      <w:r>
        <w:rPr>
          <w:rFonts w:ascii="Arial" w:cs="Arial" w:hAnsi="Arial"/>
          <w:b/>
          <w:bCs/>
          <w:sz w:val="24"/>
          <w:szCs w:val="24"/>
          <w:lang w:val="mn-MN"/>
        </w:rPr>
        <w:t>4.1.2.</w:t>
      </w:r>
      <w:r>
        <w:rPr>
          <w:rFonts w:ascii="Arial" w:cs="Arial" w:hAnsi="Arial"/>
          <w:sz w:val="24"/>
          <w:szCs w:val="24"/>
          <w:lang w:val="mn-MN"/>
        </w:rPr>
        <w:t xml:space="preserve"> малчнаас өөр ажил, мэргэжлээр давхар ажиллаж, орлого олж байгаагүй.</w:t>
      </w:r>
    </w:p>
    <w:p>
      <w:pPr>
        <w:pStyle w:val="style0"/>
        <w:jc w:val="both"/>
      </w:pPr>
      <w:r>
        <w:rPr>
          <w:rFonts w:ascii="Arial" w:cs="Arial" w:hAnsi="Arial"/>
          <w:sz w:val="24"/>
          <w:szCs w:val="24"/>
          <w:lang w:val="mn-MN"/>
        </w:rPr>
        <w:tab/>
      </w:r>
      <w:r>
        <w:rPr>
          <w:rFonts w:ascii="Arial" w:cs="Arial" w:hAnsi="Arial"/>
          <w:b/>
          <w:bCs/>
          <w:sz w:val="24"/>
          <w:szCs w:val="24"/>
          <w:lang w:val="mn-MN"/>
        </w:rPr>
        <w:t>4.2.</w:t>
      </w:r>
      <w:r>
        <w:rPr>
          <w:rFonts w:ascii="Arial" w:cs="Arial" w:hAnsi="Arial"/>
          <w:sz w:val="24"/>
          <w:szCs w:val="24"/>
          <w:lang w:val="mn-MN"/>
        </w:rPr>
        <w:t xml:space="preserve"> Бүх шатны сургуульд суралцсан хугацаа малчнаар ажилласан жилд хамаарахгүй. </w:t>
      </w:r>
    </w:p>
    <w:p>
      <w:pPr>
        <w:pStyle w:val="style0"/>
        <w:jc w:val="both"/>
      </w:pPr>
      <w:r>
        <w:rPr>
          <w:rFonts w:ascii="Arial" w:cs="Arial" w:hAnsi="Arial"/>
          <w:sz w:val="24"/>
          <w:szCs w:val="24"/>
        </w:rPr>
        <w:tab/>
      </w:r>
      <w:r>
        <w:rPr>
          <w:rFonts w:ascii="Arial" w:cs="Arial" w:hAnsi="Arial"/>
          <w:b/>
          <w:bCs/>
          <w:sz w:val="24"/>
          <w:szCs w:val="24"/>
        </w:rPr>
        <w:t xml:space="preserve">5 дугаар зүйл </w:t>
      </w:r>
      <w:r>
        <w:rPr>
          <w:rFonts w:ascii="Arial" w:cs="Arial" w:hAnsi="Arial"/>
          <w:sz w:val="24"/>
          <w:szCs w:val="24"/>
        </w:rPr>
        <w:t>Тэтгэврийн даатгалы</w:t>
      </w:r>
      <w:r>
        <w:rPr>
          <w:rFonts w:ascii="Arial" w:cs="Arial" w:hAnsi="Arial"/>
          <w:sz w:val="24"/>
          <w:szCs w:val="24"/>
          <w:lang w:val="mn-MN"/>
        </w:rPr>
        <w:t>н шимтгэлийг</w:t>
      </w:r>
      <w:r>
        <w:rPr>
          <w:rFonts w:ascii="Arial" w:cs="Arial" w:hAnsi="Arial"/>
          <w:sz w:val="24"/>
          <w:szCs w:val="24"/>
        </w:rPr>
        <w:t xml:space="preserve"> нөхөн т</w:t>
      </w:r>
      <w:r>
        <w:rPr>
          <w:rFonts w:ascii="Arial" w:cs="Arial" w:hAnsi="Arial"/>
          <w:sz w:val="24"/>
          <w:szCs w:val="24"/>
          <w:lang w:val="mn-MN"/>
        </w:rPr>
        <w:t xml:space="preserve">өлүүлэх </w:t>
      </w:r>
      <w:r>
        <w:rPr>
          <w:rFonts w:ascii="Arial" w:cs="Arial" w:hAnsi="Arial"/>
          <w:sz w:val="24"/>
          <w:szCs w:val="24"/>
        </w:rPr>
        <w:t>хувь</w:t>
      </w:r>
      <w:r>
        <w:rPr>
          <w:rFonts w:ascii="Arial" w:cs="Arial" w:hAnsi="Arial"/>
          <w:sz w:val="24"/>
          <w:szCs w:val="24"/>
          <w:lang w:val="mn-MN"/>
        </w:rPr>
        <w:t>,</w:t>
      </w:r>
      <w:r>
        <w:rPr>
          <w:rFonts w:ascii="Arial" w:cs="Arial" w:hAnsi="Arial"/>
          <w:sz w:val="24"/>
          <w:szCs w:val="24"/>
        </w:rPr>
        <w:t xml:space="preserve"> хэмжээ</w:t>
      </w:r>
    </w:p>
    <w:p>
      <w:pPr>
        <w:pStyle w:val="style0"/>
        <w:jc w:val="both"/>
      </w:pPr>
      <w:r>
        <w:rPr>
          <w:rFonts w:ascii="Arial" w:cs="Arial" w:hAnsi="Arial"/>
          <w:sz w:val="24"/>
          <w:szCs w:val="24"/>
        </w:rPr>
        <w:tab/>
      </w:r>
      <w:r>
        <w:rPr>
          <w:rFonts w:ascii="Arial" w:cs="Arial" w:hAnsi="Arial"/>
          <w:b/>
          <w:bCs/>
          <w:sz w:val="24"/>
          <w:szCs w:val="24"/>
        </w:rPr>
        <w:t>5.1.</w:t>
      </w:r>
      <w:r>
        <w:rPr>
          <w:rFonts w:ascii="Arial" w:cs="Arial" w:hAnsi="Arial"/>
          <w:sz w:val="24"/>
          <w:szCs w:val="24"/>
        </w:rPr>
        <w:t xml:space="preserve"> Энэ хуулийн 4 дүгээр зүйл</w:t>
      </w:r>
      <w:r>
        <w:rPr>
          <w:rFonts w:ascii="Arial" w:cs="Arial" w:hAnsi="Arial"/>
          <w:sz w:val="24"/>
          <w:szCs w:val="24"/>
          <w:lang w:val="mn-MN"/>
        </w:rPr>
        <w:t>д</w:t>
      </w:r>
      <w:r>
        <w:rPr>
          <w:rFonts w:ascii="Arial" w:cs="Arial" w:hAnsi="Arial"/>
          <w:sz w:val="24"/>
          <w:szCs w:val="24"/>
        </w:rPr>
        <w:t xml:space="preserve"> заасан иргэний сард нөхөн төлбөл зохих </w:t>
      </w:r>
      <w:r>
        <w:rPr>
          <w:rFonts w:ascii="Arial" w:cs="Arial" w:hAnsi="Arial"/>
          <w:sz w:val="24"/>
          <w:szCs w:val="24"/>
          <w:lang w:val="mn-MN"/>
        </w:rPr>
        <w:t>тэтгэврийн</w:t>
      </w:r>
      <w:r>
        <w:rPr>
          <w:rFonts w:ascii="Arial" w:cs="Arial" w:hAnsi="Arial"/>
          <w:sz w:val="24"/>
          <w:szCs w:val="24"/>
        </w:rPr>
        <w:t xml:space="preserve"> даатгалын шимтгэлийн хувь хэмжээ</w:t>
      </w:r>
      <w:r>
        <w:rPr>
          <w:rFonts w:ascii="Arial" w:cs="Arial" w:hAnsi="Arial"/>
          <w:sz w:val="24"/>
          <w:szCs w:val="24"/>
          <w:lang w:val="mn-MN"/>
        </w:rPr>
        <w:t xml:space="preserve"> нь</w:t>
      </w:r>
      <w:r>
        <w:rPr>
          <w:rFonts w:ascii="Arial" w:cs="Arial" w:hAnsi="Arial"/>
          <w:sz w:val="24"/>
          <w:szCs w:val="24"/>
        </w:rPr>
        <w:t xml:space="preserve"> тухайн үед Засгийн газ</w:t>
      </w:r>
      <w:r>
        <w:rPr>
          <w:rFonts w:ascii="Arial" w:cs="Arial" w:hAnsi="Arial"/>
          <w:sz w:val="24"/>
          <w:szCs w:val="24"/>
          <w:lang w:val="mn-MN"/>
        </w:rPr>
        <w:t>ар болон эрх бүхий этгээдээс</w:t>
      </w:r>
      <w:r>
        <w:rPr>
          <w:rFonts w:ascii="Arial" w:cs="Arial" w:hAnsi="Arial"/>
          <w:sz w:val="24"/>
          <w:szCs w:val="24"/>
        </w:rPr>
        <w:t xml:space="preserve"> </w:t>
      </w:r>
      <w:r>
        <w:rPr>
          <w:rFonts w:ascii="Arial" w:cs="Arial" w:hAnsi="Arial"/>
          <w:sz w:val="24"/>
          <w:szCs w:val="24"/>
          <w:lang w:val="mn-MN"/>
        </w:rPr>
        <w:t xml:space="preserve">батлан </w:t>
      </w:r>
      <w:r>
        <w:rPr>
          <w:rFonts w:ascii="Arial" w:cs="Arial" w:hAnsi="Arial"/>
          <w:sz w:val="24"/>
          <w:szCs w:val="24"/>
        </w:rPr>
        <w:t>мөрд</w:t>
      </w:r>
      <w:r>
        <w:rPr>
          <w:rFonts w:ascii="Arial" w:cs="Arial" w:hAnsi="Arial"/>
          <w:sz w:val="24"/>
          <w:szCs w:val="24"/>
          <w:lang w:val="mn-MN"/>
        </w:rPr>
        <w:t>үүлсэн</w:t>
      </w:r>
      <w:r>
        <w:rPr>
          <w:rFonts w:ascii="Arial" w:cs="Arial" w:hAnsi="Arial"/>
          <w:sz w:val="24"/>
          <w:szCs w:val="24"/>
        </w:rPr>
        <w:t xml:space="preserve"> хөдөлмөрийн хөлсний доод хэмжээний 10 хувьтай тэнцүү</w:t>
      </w:r>
      <w:r>
        <w:rPr>
          <w:rFonts w:ascii="Arial" w:cs="Arial" w:hAnsi="Arial"/>
          <w:sz w:val="24"/>
          <w:szCs w:val="24"/>
          <w:lang w:val="mn-MN"/>
        </w:rPr>
        <w:t xml:space="preserve"> байна.</w:t>
      </w:r>
    </w:p>
    <w:p>
      <w:pPr>
        <w:pStyle w:val="style0"/>
        <w:jc w:val="both"/>
      </w:pPr>
      <w:r>
        <w:rPr>
          <w:rFonts w:ascii="Arial" w:cs="Arial" w:hAnsi="Arial"/>
          <w:sz w:val="24"/>
          <w:szCs w:val="24"/>
        </w:rPr>
        <w:tab/>
      </w:r>
      <w:r>
        <w:rPr>
          <w:rFonts w:ascii="Arial" w:cs="Arial" w:hAnsi="Arial"/>
          <w:b/>
          <w:bCs/>
          <w:sz w:val="24"/>
          <w:szCs w:val="24"/>
        </w:rPr>
        <w:t xml:space="preserve">6 дугаар зүйл </w:t>
      </w:r>
      <w:r>
        <w:rPr>
          <w:rFonts w:ascii="Arial" w:cs="Arial" w:hAnsi="Arial"/>
          <w:sz w:val="24"/>
          <w:szCs w:val="24"/>
          <w:lang w:val="mn-MN"/>
        </w:rPr>
        <w:t xml:space="preserve">Малчны </w:t>
      </w:r>
      <w:r>
        <w:rPr>
          <w:rFonts w:ascii="Arial" w:cs="Arial" w:hAnsi="Arial"/>
          <w:sz w:val="24"/>
          <w:szCs w:val="24"/>
        </w:rPr>
        <w:t xml:space="preserve"> тэтгэврийн даатгалын шимтгэлийг нөхөн т</w:t>
      </w:r>
      <w:r>
        <w:rPr>
          <w:rFonts w:ascii="Arial" w:cs="Arial" w:hAnsi="Arial"/>
          <w:sz w:val="24"/>
          <w:szCs w:val="24"/>
          <w:lang w:val="mn-MN"/>
        </w:rPr>
        <w:t xml:space="preserve">өлүүлэх </w:t>
      </w:r>
    </w:p>
    <w:p>
      <w:pPr>
        <w:pStyle w:val="style0"/>
        <w:jc w:val="both"/>
      </w:pPr>
      <w:r>
        <w:rPr>
          <w:rFonts w:ascii="Arial" w:cs="Arial" w:hAnsi="Arial"/>
          <w:sz w:val="24"/>
          <w:szCs w:val="24"/>
        </w:rPr>
        <w:tab/>
      </w:r>
      <w:r>
        <w:rPr>
          <w:rFonts w:ascii="Arial" w:cs="Arial" w:hAnsi="Arial"/>
          <w:b/>
          <w:bCs/>
          <w:sz w:val="24"/>
          <w:szCs w:val="24"/>
        </w:rPr>
        <w:t>6.1.</w:t>
      </w:r>
      <w:r>
        <w:rPr>
          <w:rFonts w:ascii="Arial" w:cs="Arial" w:hAnsi="Arial"/>
          <w:sz w:val="24"/>
          <w:szCs w:val="24"/>
        </w:rPr>
        <w:t xml:space="preserve"> Энэ хуулийн 4 дүгээр зүйл</w:t>
      </w:r>
      <w:r>
        <w:rPr>
          <w:rFonts w:ascii="Arial" w:cs="Arial" w:hAnsi="Arial"/>
          <w:sz w:val="24"/>
          <w:szCs w:val="24"/>
          <w:lang w:val="mn-MN"/>
        </w:rPr>
        <w:t xml:space="preserve">д </w:t>
      </w:r>
      <w:r>
        <w:rPr>
          <w:rFonts w:ascii="Arial" w:cs="Arial" w:hAnsi="Arial"/>
          <w:sz w:val="24"/>
          <w:szCs w:val="24"/>
        </w:rPr>
        <w:t xml:space="preserve">заасан иргэний </w:t>
      </w:r>
      <w:r>
        <w:rPr>
          <w:rFonts w:ascii="Arial" w:cs="Arial" w:hAnsi="Arial"/>
          <w:sz w:val="24"/>
          <w:szCs w:val="24"/>
          <w:lang w:val="mn-MN"/>
        </w:rPr>
        <w:t xml:space="preserve">малчнаар </w:t>
      </w:r>
      <w:r>
        <w:rPr>
          <w:rFonts w:ascii="Arial" w:cs="Arial" w:hAnsi="Arial"/>
          <w:sz w:val="24"/>
          <w:szCs w:val="24"/>
        </w:rPr>
        <w:t>ажилласан хугацаа</w:t>
      </w:r>
      <w:r>
        <w:rPr>
          <w:rFonts w:ascii="Arial" w:cs="Arial" w:hAnsi="Arial"/>
          <w:sz w:val="24"/>
          <w:szCs w:val="24"/>
          <w:lang w:val="mn-MN"/>
        </w:rPr>
        <w:t>ны тэтгэврийн даатгалын шимтгэлийг</w:t>
      </w:r>
      <w:r>
        <w:rPr>
          <w:rFonts w:ascii="Arial" w:cs="Arial" w:hAnsi="Arial"/>
          <w:sz w:val="24"/>
          <w:szCs w:val="24"/>
        </w:rPr>
        <w:t xml:space="preserve"> нөхөн</w:t>
      </w:r>
      <w:r>
        <w:rPr>
          <w:rFonts w:ascii="Arial" w:cs="Arial" w:hAnsi="Arial"/>
          <w:sz w:val="24"/>
          <w:szCs w:val="24"/>
          <w:lang w:val="mn-MN"/>
        </w:rPr>
        <w:t xml:space="preserve"> </w:t>
      </w:r>
      <w:r>
        <w:rPr>
          <w:rFonts w:ascii="Arial" w:cs="Arial" w:hAnsi="Arial"/>
          <w:sz w:val="24"/>
          <w:szCs w:val="24"/>
        </w:rPr>
        <w:t>төлүүлэх ажлыг нийгмийн даатгалын төв</w:t>
      </w:r>
      <w:r>
        <w:rPr>
          <w:rFonts w:ascii="Arial" w:cs="Arial" w:hAnsi="Arial"/>
          <w:sz w:val="24"/>
          <w:szCs w:val="24"/>
          <w:lang w:val="mn-MN"/>
        </w:rPr>
        <w:t>, орон нутгийн</w:t>
      </w:r>
      <w:r>
        <w:rPr>
          <w:rFonts w:ascii="Arial" w:cs="Arial" w:hAnsi="Arial"/>
          <w:sz w:val="24"/>
          <w:szCs w:val="24"/>
        </w:rPr>
        <w:t xml:space="preserve"> байгууллага </w:t>
      </w:r>
      <w:r>
        <w:rPr>
          <w:rFonts w:ascii="Arial" w:cs="Arial" w:hAnsi="Arial"/>
          <w:sz w:val="24"/>
          <w:szCs w:val="24"/>
          <w:lang w:val="mn-MN"/>
        </w:rPr>
        <w:t xml:space="preserve">хариуцан </w:t>
      </w:r>
      <w:r>
        <w:rPr>
          <w:rFonts w:ascii="Arial" w:cs="Arial" w:hAnsi="Arial"/>
          <w:sz w:val="24"/>
          <w:szCs w:val="24"/>
        </w:rPr>
        <w:t>зохион байгуул</w:t>
      </w:r>
      <w:r>
        <w:rPr>
          <w:rFonts w:ascii="Arial" w:cs="Arial" w:hAnsi="Arial"/>
          <w:sz w:val="24"/>
          <w:szCs w:val="24"/>
          <w:lang w:val="mn-MN"/>
        </w:rPr>
        <w:t>на</w:t>
      </w:r>
      <w:r>
        <w:rPr>
          <w:rFonts w:ascii="Arial" w:cs="Arial" w:hAnsi="Arial"/>
          <w:sz w:val="24"/>
          <w:szCs w:val="24"/>
        </w:rPr>
        <w:t>.</w:t>
      </w:r>
    </w:p>
    <w:p>
      <w:pPr>
        <w:pStyle w:val="style0"/>
        <w:jc w:val="both"/>
      </w:pPr>
      <w:r>
        <w:rPr>
          <w:rFonts w:ascii="Arial" w:cs="Arial" w:hAnsi="Arial"/>
          <w:sz w:val="24"/>
          <w:szCs w:val="24"/>
          <w:lang w:val="mn-MN"/>
        </w:rPr>
        <w:tab/>
      </w:r>
      <w:r>
        <w:rPr>
          <w:rFonts w:ascii="Arial" w:cs="Arial" w:hAnsi="Arial"/>
          <w:b/>
          <w:bCs/>
          <w:sz w:val="24"/>
          <w:szCs w:val="24"/>
        </w:rPr>
        <w:t>6.2.</w:t>
      </w:r>
      <w:r>
        <w:rPr>
          <w:rFonts w:ascii="Arial" w:cs="Arial" w:hAnsi="Arial"/>
          <w:sz w:val="24"/>
          <w:szCs w:val="24"/>
        </w:rPr>
        <w:t xml:space="preserve"> Энэ хуулийн 4 дүгээр зүйл</w:t>
      </w:r>
      <w:r>
        <w:rPr>
          <w:rFonts w:ascii="Arial" w:cs="Arial" w:hAnsi="Arial"/>
          <w:sz w:val="24"/>
          <w:szCs w:val="24"/>
          <w:lang w:val="mn-MN"/>
        </w:rPr>
        <w:t>д</w:t>
      </w:r>
      <w:r>
        <w:rPr>
          <w:rFonts w:ascii="Arial" w:cs="Arial" w:hAnsi="Arial"/>
          <w:sz w:val="24"/>
          <w:szCs w:val="24"/>
        </w:rPr>
        <w:t xml:space="preserve"> заасан иргэний </w:t>
      </w:r>
      <w:r>
        <w:rPr>
          <w:rFonts w:ascii="Arial" w:cs="Arial" w:hAnsi="Arial"/>
          <w:sz w:val="24"/>
          <w:szCs w:val="24"/>
          <w:lang w:val="mn-MN"/>
        </w:rPr>
        <w:t xml:space="preserve">малчнаар ажилласан хугацааны тэтгэврийн нөхөн төлсөн шимтгэлийг тэтгэврийн даатгалын санд төвлөрүүлнэ. </w:t>
      </w:r>
    </w:p>
    <w:p>
      <w:pPr>
        <w:pStyle w:val="style0"/>
        <w:jc w:val="both"/>
      </w:pPr>
      <w:r>
        <w:rPr>
          <w:rFonts w:ascii="Arial" w:cs="Arial" w:hAnsi="Arial"/>
          <w:b/>
          <w:bCs/>
          <w:sz w:val="24"/>
          <w:szCs w:val="24"/>
          <w:lang w:val="mn-MN"/>
        </w:rPr>
        <w:tab/>
        <w:t>6.3.</w:t>
      </w:r>
      <w:r>
        <w:rPr>
          <w:rFonts w:ascii="Arial" w:cs="Arial" w:hAnsi="Arial"/>
          <w:sz w:val="24"/>
          <w:szCs w:val="24"/>
          <w:lang w:val="mn-MN"/>
        </w:rPr>
        <w:t xml:space="preserve"> Энэ хуулийн </w:t>
      </w:r>
      <w:r>
        <w:rPr>
          <w:rFonts w:ascii="Arial" w:cs="Tahoma" w:hAnsi="Arial"/>
          <w:sz w:val="24"/>
          <w:szCs w:val="24"/>
          <w:lang w:val="mn-MN"/>
        </w:rPr>
        <w:t>4 дүгээр зүйлд заасан иргэний малчнаар ажилласан хугацааны тэтгэврийн даатгалын шимтгэлийг нөхөн төлүүлэх журмыг</w:t>
      </w:r>
      <w:r>
        <w:rPr>
          <w:rFonts w:ascii="Arial" w:cs="Arial" w:hAnsi="Arial"/>
          <w:sz w:val="24"/>
          <w:szCs w:val="24"/>
        </w:rPr>
        <w:t xml:space="preserve"> </w:t>
      </w:r>
      <w:r>
        <w:rPr>
          <w:rFonts w:ascii="Arial" w:cs="Arial" w:hAnsi="Arial"/>
          <w:sz w:val="24"/>
          <w:szCs w:val="24"/>
          <w:lang w:val="mn-MN"/>
        </w:rPr>
        <w:t>Нийгмийн даатгалын үндэсний зөвлөл батална.</w:t>
      </w:r>
    </w:p>
    <w:p>
      <w:pPr>
        <w:pStyle w:val="style0"/>
        <w:jc w:val="both"/>
      </w:pPr>
      <w:r>
        <w:rPr>
          <w:rFonts w:ascii="Arial" w:cs="Arial" w:hAnsi="Arial"/>
          <w:sz w:val="24"/>
          <w:szCs w:val="24"/>
        </w:rPr>
        <w:tab/>
      </w:r>
      <w:r>
        <w:rPr>
          <w:rFonts w:ascii="Arial" w:cs="Arial" w:hAnsi="Arial"/>
          <w:b/>
          <w:bCs/>
          <w:sz w:val="24"/>
          <w:szCs w:val="24"/>
        </w:rPr>
        <w:t xml:space="preserve">7 дугаар зүйл </w:t>
      </w:r>
      <w:r>
        <w:rPr>
          <w:rFonts w:ascii="Arial" w:cs="Arial" w:hAnsi="Arial"/>
          <w:sz w:val="24"/>
          <w:szCs w:val="24"/>
        </w:rPr>
        <w:t>Бүрдүүлэх баримт бичиг</w:t>
      </w:r>
    </w:p>
    <w:p>
      <w:pPr>
        <w:pStyle w:val="style0"/>
        <w:jc w:val="both"/>
      </w:pPr>
      <w:r>
        <w:rPr>
          <w:rFonts w:ascii="Arial" w:cs="Arial" w:hAnsi="Arial"/>
          <w:sz w:val="24"/>
          <w:szCs w:val="24"/>
        </w:rPr>
        <w:t xml:space="preserve">     </w:t>
      </w:r>
      <w:r>
        <w:rPr>
          <w:rFonts w:ascii="Arial" w:cs="Arial" w:hAnsi="Arial"/>
          <w:sz w:val="24"/>
          <w:szCs w:val="24"/>
        </w:rPr>
        <w:tab/>
      </w:r>
      <w:r>
        <w:rPr>
          <w:rFonts w:ascii="Arial" w:cs="Arial" w:hAnsi="Arial"/>
          <w:b/>
          <w:bCs/>
          <w:sz w:val="24"/>
          <w:szCs w:val="24"/>
        </w:rPr>
        <w:t>7.1.</w:t>
      </w:r>
      <w:r>
        <w:rPr>
          <w:rFonts w:ascii="Arial" w:cs="Arial" w:hAnsi="Arial"/>
          <w:sz w:val="24"/>
          <w:szCs w:val="24"/>
        </w:rPr>
        <w:t xml:space="preserve"> Энэ хуулийн 4 дүгээр зүйл</w:t>
      </w:r>
      <w:r>
        <w:rPr>
          <w:rFonts w:ascii="Arial" w:cs="Arial" w:hAnsi="Arial"/>
          <w:sz w:val="24"/>
          <w:szCs w:val="24"/>
          <w:lang w:val="mn-MN"/>
        </w:rPr>
        <w:t>д</w:t>
      </w:r>
      <w:r>
        <w:rPr>
          <w:rFonts w:ascii="Arial" w:cs="Arial" w:hAnsi="Arial"/>
          <w:sz w:val="24"/>
          <w:szCs w:val="24"/>
        </w:rPr>
        <w:t xml:space="preserve"> заасан иргэн </w:t>
      </w:r>
      <w:r>
        <w:rPr>
          <w:rFonts w:ascii="Arial" w:cs="Arial" w:hAnsi="Arial"/>
          <w:sz w:val="24"/>
          <w:szCs w:val="24"/>
          <w:lang w:val="mn-MN"/>
        </w:rPr>
        <w:t xml:space="preserve">малчнаар ажиллаж байсан хугацааны тэтгэврийн даатгалын шимтгэлээ нөхөн төлөхдөө </w:t>
      </w:r>
      <w:r>
        <w:rPr>
          <w:rFonts w:ascii="Arial" w:cs="Arial" w:hAnsi="Arial"/>
          <w:sz w:val="24"/>
          <w:szCs w:val="24"/>
        </w:rPr>
        <w:t>дараах баримт бичгий</w:t>
      </w:r>
      <w:r>
        <w:rPr>
          <w:rFonts w:ascii="Arial" w:cs="Arial" w:hAnsi="Arial"/>
          <w:sz w:val="24"/>
          <w:szCs w:val="24"/>
          <w:lang w:val="mn-MN"/>
        </w:rPr>
        <w:t>г</w:t>
      </w:r>
      <w:r>
        <w:rPr>
          <w:rFonts w:ascii="Arial" w:cs="Arial" w:hAnsi="Arial"/>
          <w:sz w:val="24"/>
          <w:szCs w:val="24"/>
        </w:rPr>
        <w:t xml:space="preserve"> бүрдүүлнэ:</w:t>
      </w:r>
    </w:p>
    <w:p>
      <w:pPr>
        <w:pStyle w:val="style0"/>
        <w:jc w:val="both"/>
      </w:pPr>
      <w:r>
        <w:rPr>
          <w:rFonts w:ascii="Arial" w:cs="Arial" w:hAnsi="Arial"/>
          <w:sz w:val="24"/>
          <w:szCs w:val="24"/>
        </w:rPr>
        <w:tab/>
        <w:tab/>
      </w:r>
      <w:r>
        <w:rPr>
          <w:rFonts w:ascii="Arial" w:cs="Arial" w:hAnsi="Arial"/>
          <w:b/>
          <w:bCs/>
          <w:sz w:val="24"/>
          <w:szCs w:val="24"/>
        </w:rPr>
        <w:t>7.1.1</w:t>
      </w:r>
      <w:r>
        <w:rPr>
          <w:rFonts w:ascii="Arial" w:cs="Arial" w:hAnsi="Arial"/>
          <w:sz w:val="24"/>
          <w:szCs w:val="24"/>
        </w:rPr>
        <w:t>.</w:t>
      </w:r>
      <w:r>
        <w:rPr>
          <w:rFonts w:ascii="Arial" w:cs="Arial" w:hAnsi="Arial"/>
          <w:sz w:val="24"/>
          <w:szCs w:val="24"/>
          <w:lang w:val="mn-MN"/>
        </w:rPr>
        <w:t xml:space="preserve"> Иргэний үнэмлэхний хуулбар</w:t>
      </w:r>
      <w:r>
        <w:rPr>
          <w:rFonts w:ascii="Arial" w:cs="Arial" w:hAnsi="Arial"/>
          <w:sz w:val="24"/>
          <w:szCs w:val="24"/>
        </w:rPr>
        <w:t>;</w:t>
      </w:r>
      <w:r>
        <w:rPr>
          <w:rFonts w:ascii="Arial" w:cs="Arial" w:hAnsi="Arial"/>
          <w:sz w:val="24"/>
          <w:szCs w:val="24"/>
          <w:lang w:val="mn-MN"/>
        </w:rPr>
        <w:t xml:space="preserve"> </w:t>
      </w:r>
    </w:p>
    <w:p>
      <w:pPr>
        <w:pStyle w:val="style0"/>
        <w:jc w:val="both"/>
      </w:pPr>
      <w:r>
        <w:rPr>
          <w:rFonts w:ascii="Arial" w:cs="Arial" w:hAnsi="Arial"/>
          <w:sz w:val="24"/>
          <w:szCs w:val="24"/>
        </w:rPr>
        <w:tab/>
        <w:tab/>
      </w:r>
      <w:r>
        <w:rPr>
          <w:rFonts w:ascii="Arial" w:cs="Arial" w:hAnsi="Arial"/>
          <w:b/>
          <w:bCs/>
          <w:sz w:val="24"/>
          <w:szCs w:val="24"/>
        </w:rPr>
        <w:t>7.1.2.</w:t>
      </w:r>
      <w:r>
        <w:rPr>
          <w:rFonts w:ascii="Arial" w:cs="Arial" w:hAnsi="Arial"/>
          <w:sz w:val="24"/>
          <w:szCs w:val="24"/>
        </w:rPr>
        <w:t xml:space="preserve"> </w:t>
      </w:r>
      <w:r>
        <w:rPr>
          <w:rFonts w:ascii="Arial" w:cs="Arial" w:hAnsi="Arial"/>
          <w:sz w:val="24"/>
          <w:szCs w:val="24"/>
          <w:lang w:val="mn-MN"/>
        </w:rPr>
        <w:t xml:space="preserve">иргэн, түүний гэр бүл тухайн сум, дүүрэгт </w:t>
      </w:r>
      <w:r>
        <w:rPr>
          <w:rFonts w:ascii="Arial" w:cs="Arial" w:hAnsi="Arial"/>
          <w:sz w:val="24"/>
          <w:szCs w:val="24"/>
        </w:rPr>
        <w:t>1995</w:t>
      </w:r>
      <w:r>
        <w:rPr>
          <w:rFonts w:ascii="Arial" w:cs="Arial" w:hAnsi="Arial"/>
          <w:sz w:val="24"/>
          <w:szCs w:val="24"/>
          <w:lang w:val="mn-MN"/>
        </w:rPr>
        <w:t>-2015 онд оршин сууж, малчнаар ажиллаж байсан тухай сум, дүүргийн Засаг даргын тодорхойлолт</w:t>
      </w:r>
      <w:r>
        <w:rPr>
          <w:rFonts w:ascii="Arial" w:cs="Arial" w:hAnsi="Arial"/>
          <w:sz w:val="24"/>
          <w:szCs w:val="24"/>
        </w:rPr>
        <w:t>;</w:t>
      </w:r>
    </w:p>
    <w:p>
      <w:pPr>
        <w:pStyle w:val="style0"/>
        <w:jc w:val="both"/>
      </w:pPr>
      <w:r>
        <w:rPr>
          <w:rFonts w:ascii="Arial" w:cs="Arial" w:hAnsi="Arial"/>
          <w:sz w:val="24"/>
          <w:szCs w:val="24"/>
          <w:lang w:val="mn-MN"/>
        </w:rPr>
        <w:tab/>
        <w:tab/>
      </w:r>
      <w:r>
        <w:rPr>
          <w:rFonts w:ascii="Arial" w:cs="Arial" w:hAnsi="Arial"/>
          <w:b/>
          <w:bCs/>
          <w:sz w:val="24"/>
          <w:szCs w:val="24"/>
          <w:lang w:val="mn-MN"/>
        </w:rPr>
        <w:t xml:space="preserve">7.1.3. </w:t>
      </w:r>
      <w:r>
        <w:rPr>
          <w:rFonts w:ascii="Arial" w:cs="Arial" w:hAnsi="Arial"/>
          <w:sz w:val="24"/>
          <w:szCs w:val="24"/>
          <w:lang w:val="mn-MN"/>
        </w:rPr>
        <w:t>иргэн, түүний гэр бүлийн 1995-</w:t>
      </w:r>
      <w:r>
        <w:rPr>
          <w:rFonts w:ascii="Arial" w:cs="Arial" w:hAnsi="Arial"/>
          <w:sz w:val="24"/>
          <w:szCs w:val="24"/>
        </w:rPr>
        <w:t>20</w:t>
      </w:r>
      <w:r>
        <w:rPr>
          <w:rFonts w:ascii="Arial" w:cs="Arial" w:hAnsi="Arial"/>
          <w:sz w:val="24"/>
          <w:szCs w:val="24"/>
          <w:lang w:val="mn-MN"/>
        </w:rPr>
        <w:t>15</w:t>
      </w:r>
      <w:r>
        <w:rPr>
          <w:rFonts w:ascii="Arial" w:cs="Arial" w:hAnsi="Arial"/>
          <w:sz w:val="24"/>
          <w:szCs w:val="24"/>
        </w:rPr>
        <w:t xml:space="preserve"> он</w:t>
      </w:r>
      <w:r>
        <w:rPr>
          <w:rFonts w:ascii="Arial" w:cs="Arial" w:hAnsi="Arial"/>
          <w:sz w:val="24"/>
          <w:szCs w:val="24"/>
          <w:lang w:val="mn-MN"/>
        </w:rPr>
        <w:t>ы мал тооллогын  баримт</w:t>
      </w:r>
      <w:r>
        <w:rPr>
          <w:rFonts w:ascii="Arial" w:cs="Arial" w:hAnsi="Arial"/>
          <w:sz w:val="24"/>
          <w:szCs w:val="24"/>
        </w:rPr>
        <w:t>;</w:t>
      </w:r>
    </w:p>
    <w:p>
      <w:pPr>
        <w:pStyle w:val="style0"/>
        <w:jc w:val="both"/>
      </w:pPr>
      <w:r>
        <w:rPr>
          <w:rFonts w:ascii="Arial" w:cs="Arial" w:hAnsi="Arial"/>
          <w:sz w:val="24"/>
          <w:szCs w:val="24"/>
          <w:lang w:val="mn-MN"/>
        </w:rPr>
        <w:tab/>
        <w:tab/>
      </w:r>
      <w:r>
        <w:rPr>
          <w:rFonts w:ascii="Arial" w:cs="Arial" w:hAnsi="Arial"/>
          <w:b/>
          <w:bCs/>
          <w:sz w:val="24"/>
          <w:szCs w:val="24"/>
          <w:lang w:val="mn-MN"/>
        </w:rPr>
        <w:t>7.1.4.</w:t>
      </w:r>
      <w:r>
        <w:rPr>
          <w:rFonts w:ascii="Arial" w:cs="Arial" w:hAnsi="Arial"/>
          <w:sz w:val="24"/>
          <w:szCs w:val="24"/>
        </w:rPr>
        <w:t> </w:t>
      </w:r>
      <w:r>
        <w:rPr>
          <w:rFonts w:ascii="Arial" w:cs="Arial" w:hAnsi="Arial"/>
          <w:sz w:val="24"/>
          <w:szCs w:val="24"/>
          <w:lang w:val="mn-MN"/>
        </w:rPr>
        <w:t>иргэн, аж ахуйн нэгжийн малыг хөлсөөр маллаж байсан бол хөдөлмөрийн болон иргэний гэрээний хувь</w:t>
      </w:r>
      <w:r>
        <w:rPr>
          <w:rFonts w:ascii="Arial" w:cs="Arial" w:hAnsi="Arial"/>
          <w:sz w:val="24"/>
          <w:szCs w:val="24"/>
        </w:rPr>
        <w:t>;  </w:t>
      </w:r>
    </w:p>
    <w:p>
      <w:pPr>
        <w:pStyle w:val="style0"/>
        <w:jc w:val="both"/>
      </w:pPr>
      <w:r>
        <w:rPr>
          <w:rFonts w:ascii="Arial" w:cs="Arial" w:hAnsi="Arial"/>
          <w:sz w:val="24"/>
          <w:szCs w:val="24"/>
        </w:rPr>
        <w:tab/>
      </w:r>
      <w:r>
        <w:rPr>
          <w:rFonts w:ascii="Arial" w:cs="Arial" w:hAnsi="Arial"/>
          <w:b/>
          <w:bCs/>
          <w:sz w:val="24"/>
          <w:szCs w:val="24"/>
        </w:rPr>
        <w:t>7.2.</w:t>
      </w:r>
      <w:r>
        <w:rPr>
          <w:rFonts w:ascii="Arial" w:cs="Arial" w:hAnsi="Arial"/>
          <w:sz w:val="24"/>
          <w:szCs w:val="24"/>
        </w:rPr>
        <w:t xml:space="preserve"> </w:t>
      </w:r>
      <w:r>
        <w:rPr>
          <w:rFonts w:ascii="Arial" w:cs="Arial" w:hAnsi="Arial"/>
          <w:sz w:val="24"/>
          <w:szCs w:val="24"/>
          <w:lang w:val="mn-MN"/>
        </w:rPr>
        <w:t xml:space="preserve">Энэ хуулийн 4.1-д заасан иргэн малчнаар ажилласан хугацааны тэтгэврийн даатгалын шимтгэлээ </w:t>
      </w:r>
      <w:r>
        <w:rPr>
          <w:rFonts w:ascii="Arial" w:cs="Arial" w:hAnsi="Arial"/>
          <w:sz w:val="24"/>
          <w:szCs w:val="24"/>
        </w:rPr>
        <w:t xml:space="preserve">нөхөн </w:t>
      </w:r>
      <w:r>
        <w:rPr>
          <w:rFonts w:ascii="Arial" w:cs="Arial" w:hAnsi="Arial"/>
          <w:sz w:val="24"/>
          <w:szCs w:val="24"/>
          <w:lang w:val="mn-MN"/>
        </w:rPr>
        <w:t xml:space="preserve">төлөх хүсэлтээ харъяалах сум, дүүргийн нийгмийн даатгалын байгууллагад гаргана. </w:t>
      </w:r>
    </w:p>
    <w:p>
      <w:pPr>
        <w:pStyle w:val="style0"/>
        <w:jc w:val="both"/>
      </w:pPr>
      <w:r>
        <w:rPr>
          <w:rFonts w:ascii="Arial" w:cs="Arial" w:hAnsi="Arial"/>
          <w:b/>
          <w:sz w:val="24"/>
          <w:szCs w:val="24"/>
          <w:lang w:val="mn-MN"/>
        </w:rPr>
        <w:tab/>
        <w:t>8 дугаар зүйл. Хууль хүчин төгөлдөр болох</w:t>
      </w:r>
    </w:p>
    <w:p>
      <w:pPr>
        <w:pStyle w:val="style0"/>
        <w:jc w:val="both"/>
      </w:pPr>
      <w:r>
        <w:rPr>
          <w:rFonts w:ascii="Arial" w:cs="Arial" w:hAnsi="Arial"/>
          <w:sz w:val="24"/>
          <w:szCs w:val="24"/>
          <w:lang w:val="mn-MN"/>
        </w:rPr>
        <w:tab/>
      </w:r>
      <w:r>
        <w:rPr>
          <w:rFonts w:ascii="Arial" w:cs="Arial" w:hAnsi="Arial"/>
          <w:b/>
          <w:bCs/>
          <w:sz w:val="24"/>
          <w:szCs w:val="24"/>
          <w:lang w:val="mn-MN"/>
        </w:rPr>
        <w:t>8.1</w:t>
      </w:r>
      <w:r>
        <w:rPr>
          <w:rFonts w:ascii="Arial" w:cs="Arial" w:hAnsi="Arial"/>
          <w:sz w:val="24"/>
          <w:szCs w:val="24"/>
          <w:lang w:val="mn-MN"/>
        </w:rPr>
        <w:t>. Энэ хуулийг 20.. оны ... дугаар сарын ...ны өдрөөс эхлэн дагаж мөрдөнө.</w:t>
      </w:r>
    </w:p>
    <w:p>
      <w:pPr>
        <w:pStyle w:val="style0"/>
      </w:pPr>
      <w:r>
        <w:rPr/>
      </w:r>
    </w:p>
    <w:p>
      <w:pPr>
        <w:pStyle w:val="style0"/>
      </w:pPr>
      <w:r>
        <w:rPr/>
      </w:r>
    </w:p>
    <w:p>
      <w:pPr>
        <w:pStyle w:val="style0"/>
      </w:pPr>
      <w:r>
        <w:rPr/>
      </w:r>
    </w:p>
    <w:p>
      <w:pPr>
        <w:pStyle w:val="style0"/>
        <w:jc w:val="center"/>
      </w:pPr>
      <w:r>
        <w:rPr>
          <w:rFonts w:ascii="Arial" w:cs="Arial" w:hAnsi="Arial"/>
          <w:b/>
          <w:sz w:val="24"/>
          <w:szCs w:val="24"/>
          <w:lang w:val="mn-MN"/>
        </w:rPr>
        <w:t>ГАРЫН ҮСЭГ</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sectPr>
      <w:footerReference r:id="rId2" w:type="default"/>
      <w:type w:val="nextPage"/>
      <w:pgSz w:h="15840" w:w="12240"/>
      <w:pgMar w:bottom="1134" w:footer="0" w:gutter="0" w:header="0" w:left="1701" w:right="850" w:top="1134"/>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center"/>
    </w:pPr>
    <w:r>
      <w:rPr/>
      <w:fldChar w:fldCharType="begin"/>
    </w:r>
    <w:r>
      <w:instrText> PAGE </w:instrText>
    </w:r>
    <w:r>
      <w:fldChar w:fldCharType="separate"/>
    </w:r>
    <w:r>
      <w:t>3</w:t>
    </w:r>
    <w:r>
      <w:fldChar w:fldCharType="end"/>
    </w:r>
  </w:p>
  <w:p>
    <w:pPr>
      <w:pStyle w:val="style33"/>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Times New Roman" w:eastAsia="Calibri" w:hAnsi="Calibri"/>
      <w:color w:val="00000A"/>
      <w:sz w:val="22"/>
      <w:szCs w:val="22"/>
      <w:lang w:bidi="ar-SA" w:eastAsia="en-US" w:val="en-US"/>
    </w:rPr>
  </w:style>
  <w:style w:styleId="style1" w:type="paragraph">
    <w:name w:val="Heading 1"/>
    <w:basedOn w:val="style0"/>
    <w:next w:val="style23"/>
    <w:pPr>
      <w:keepNext/>
      <w:numPr>
        <w:ilvl w:val="0"/>
        <w:numId w:val="1"/>
      </w:numPr>
      <w:spacing w:after="0" w:before="0" w:line="100" w:lineRule="atLeast"/>
      <w:jc w:val="center"/>
      <w:outlineLvl w:val="0"/>
    </w:pPr>
    <w:rPr>
      <w:rFonts w:ascii="Courier New Mon" w:eastAsia="Times New Roman" w:hAnsi="Courier New Mon"/>
      <w:i/>
      <w:iCs/>
      <w:sz w:val="32"/>
      <w:szCs w:val="24"/>
    </w:rPr>
  </w:style>
  <w:style w:styleId="style15" w:type="character">
    <w:name w:val="Default Paragraph Font"/>
    <w:next w:val="style15"/>
    <w:rPr/>
  </w:style>
  <w:style w:styleId="style16" w:type="character">
    <w:name w:val="Heading 1 Char"/>
    <w:basedOn w:val="style15"/>
    <w:next w:val="style16"/>
    <w:rPr>
      <w:rFonts w:ascii="Courier New Mon" w:cs="Times New Roman" w:eastAsia="Times New Roman" w:hAnsi="Courier New Mon"/>
      <w:i/>
      <w:iCs/>
      <w:sz w:val="32"/>
      <w:szCs w:val="24"/>
    </w:rPr>
  </w:style>
  <w:style w:styleId="style17" w:type="character">
    <w:name w:val="Body Text Char"/>
    <w:basedOn w:val="style15"/>
    <w:next w:val="style17"/>
    <w:rPr>
      <w:rFonts w:ascii="Times New Roman" w:cs="Times New Roman" w:eastAsia="Times New Roman" w:hAnsi="Times New Roman"/>
      <w:sz w:val="24"/>
      <w:szCs w:val="24"/>
    </w:rPr>
  </w:style>
  <w:style w:styleId="style18" w:type="character">
    <w:name w:val="Emphasis"/>
    <w:basedOn w:val="style15"/>
    <w:next w:val="style18"/>
    <w:rPr>
      <w:i/>
      <w:iCs/>
    </w:rPr>
  </w:style>
  <w:style w:styleId="style19" w:type="character">
    <w:name w:val="Strong Emphasis"/>
    <w:basedOn w:val="style15"/>
    <w:next w:val="style19"/>
    <w:rPr>
      <w:b/>
      <w:bCs/>
    </w:rPr>
  </w:style>
  <w:style w:styleId="style20" w:type="character">
    <w:name w:val="Header Char"/>
    <w:basedOn w:val="style15"/>
    <w:next w:val="style20"/>
    <w:rPr>
      <w:rFonts w:ascii="Calibri" w:cs="Times New Roman" w:eastAsia="Calibri" w:hAnsi="Calibri"/>
      <w:color w:val="00000A"/>
    </w:rPr>
  </w:style>
  <w:style w:styleId="style21" w:type="character">
    <w:name w:val="Footer Char"/>
    <w:basedOn w:val="style15"/>
    <w:next w:val="style21"/>
    <w:rPr>
      <w:rFonts w:ascii="Calibri" w:cs="Times New Roman" w:eastAsia="Calibri" w:hAnsi="Calibri"/>
      <w:color w:val="00000A"/>
    </w:rPr>
  </w:style>
  <w:style w:styleId="style22" w:type="paragraph">
    <w:name w:val="Heading"/>
    <w:basedOn w:val="style0"/>
    <w:next w:val="style23"/>
    <w:pPr>
      <w:keepNext/>
      <w:spacing w:after="120" w:before="240"/>
    </w:pPr>
    <w:rPr>
      <w:rFonts w:ascii="Arial" w:cs="Mangal" w:eastAsia="Arial" w:hAnsi="Arial"/>
      <w:sz w:val="28"/>
      <w:szCs w:val="28"/>
    </w:rPr>
  </w:style>
  <w:style w:styleId="style23" w:type="paragraph">
    <w:name w:val="Text body"/>
    <w:basedOn w:val="style0"/>
    <w:next w:val="style23"/>
    <w:pPr>
      <w:spacing w:after="120" w:before="0" w:line="100" w:lineRule="atLeast"/>
    </w:pPr>
    <w:rPr>
      <w:rFonts w:ascii="Times New Roman" w:eastAsia="Times New Roman" w:hAnsi="Times New Roman"/>
      <w:sz w:val="24"/>
      <w:szCs w:val="24"/>
    </w:rPr>
  </w:style>
  <w:style w:styleId="style24" w:type="paragraph">
    <w:name w:val="List"/>
    <w:basedOn w:val="style23"/>
    <w:next w:val="style24"/>
    <w:pPr/>
    <w:rPr>
      <w:rFonts w:ascii="Arial" w:cs="Mangal" w:eastAsia="Arial" w:hAnsi="Arial"/>
    </w:rPr>
  </w:style>
  <w:style w:styleId="style25" w:type="paragraph">
    <w:name w:val="Caption"/>
    <w:basedOn w:val="style0"/>
    <w:next w:val="style25"/>
    <w:pPr>
      <w:suppressLineNumbers/>
      <w:spacing w:after="120" w:before="120"/>
    </w:pPr>
    <w:rPr>
      <w:rFonts w:ascii="Arial" w:cs="Lohit Hindi" w:hAnsi="Arial"/>
      <w:i/>
      <w:iCs/>
      <w:sz w:val="24"/>
      <w:szCs w:val="24"/>
    </w:rPr>
  </w:style>
  <w:style w:styleId="style26" w:type="paragraph">
    <w:name w:val="Index"/>
    <w:basedOn w:val="style0"/>
    <w:next w:val="style26"/>
    <w:pPr>
      <w:suppressLineNumbers/>
    </w:pPr>
    <w:rPr>
      <w:rFonts w:ascii="Arial" w:cs="Mangal" w:eastAsia="Arial" w:hAnsi="Arial"/>
    </w:rPr>
  </w:style>
  <w:style w:styleId="style27" w:type="paragraph">
    <w:name w:val="caption"/>
    <w:basedOn w:val="style0"/>
    <w:next w:val="style27"/>
    <w:pPr>
      <w:suppressLineNumbers/>
      <w:spacing w:after="120" w:before="120"/>
    </w:pPr>
    <w:rPr>
      <w:rFonts w:ascii="Arial" w:cs="Mangal" w:eastAsia="Arial" w:hAnsi="Arial"/>
      <w:i/>
      <w:iCs/>
      <w:sz w:val="24"/>
      <w:szCs w:val="24"/>
    </w:rPr>
  </w:style>
  <w:style w:styleId="style28" w:type="paragraph">
    <w:name w:val="Normal (Web)"/>
    <w:basedOn w:val="style0"/>
    <w:next w:val="style28"/>
    <w:pPr>
      <w:spacing w:after="28" w:before="28" w:line="100" w:lineRule="atLeast"/>
    </w:pPr>
    <w:rPr>
      <w:rFonts w:ascii="Times New Roman" w:eastAsia="Times New Roman" w:hAnsi="Times New Roman"/>
      <w:sz w:val="24"/>
      <w:szCs w:val="24"/>
    </w:rPr>
  </w:style>
  <w:style w:styleId="style29" w:type="paragraph">
    <w:name w:val="No Spacing"/>
    <w:next w:val="style29"/>
    <w:pPr>
      <w:widowControl/>
      <w:tabs>
        <w:tab w:leader="none" w:pos="720" w:val="left"/>
      </w:tabs>
      <w:suppressAutoHyphens w:val="true"/>
      <w:spacing w:after="0" w:before="0" w:line="100" w:lineRule="atLeast"/>
    </w:pPr>
    <w:rPr>
      <w:rFonts w:ascii="Calibri" w:cs="Times New Roman" w:eastAsia="Calibri" w:hAnsi="Calibri"/>
      <w:color w:val="00000A"/>
      <w:sz w:val="22"/>
      <w:szCs w:val="22"/>
      <w:lang w:bidi="ar-SA" w:eastAsia="en-US" w:val="en-US"/>
    </w:rPr>
  </w:style>
  <w:style w:styleId="style30" w:type="paragraph">
    <w:name w:val="List Paragraph"/>
    <w:basedOn w:val="style0"/>
    <w:next w:val="style30"/>
    <w:pPr>
      <w:ind w:hanging="0" w:left="720" w:right="0"/>
    </w:pPr>
    <w:rPr/>
  </w:style>
  <w:style w:styleId="style31" w:type="paragraph">
    <w:name w:val="msg_head"/>
    <w:basedOn w:val="style0"/>
    <w:next w:val="style31"/>
    <w:pPr>
      <w:spacing w:after="28" w:before="28" w:line="100" w:lineRule="atLeast"/>
    </w:pPr>
    <w:rPr>
      <w:rFonts w:ascii="Times New Roman" w:hAnsi="Times New Roman"/>
      <w:sz w:val="24"/>
      <w:szCs w:val="24"/>
    </w:rPr>
  </w:style>
  <w:style w:styleId="style32" w:type="paragraph">
    <w:name w:val="Header"/>
    <w:basedOn w:val="style0"/>
    <w:next w:val="style32"/>
    <w:pPr>
      <w:suppressLineNumbers/>
      <w:tabs>
        <w:tab w:leader="none" w:pos="4680" w:val="center"/>
        <w:tab w:leader="none" w:pos="9360" w:val="right"/>
      </w:tabs>
      <w:spacing w:after="0" w:before="0" w:line="100" w:lineRule="atLeast"/>
    </w:pPr>
    <w:rPr/>
  </w:style>
  <w:style w:styleId="style33" w:type="paragraph">
    <w:name w:val="Footer"/>
    <w:basedOn w:val="style0"/>
    <w:next w:val="style33"/>
    <w:pPr>
      <w:suppressLineNumbers/>
      <w:tabs>
        <w:tab w:leader="none" w:pos="4680" w:val="center"/>
        <w:tab w:leader="none" w:pos="9360"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2014-04-15T08:44:00.00Z</dcterms:created>
  <dc:creator>ayush</dc:creator>
  <cp:lastModifiedBy>battsetseg</cp:lastModifiedBy>
  <cp:lastPrinted>2014-04-18T01:19:00.00Z</cp:lastPrinted>
  <dcterms:modified xsi:type="dcterms:W3CDTF">2014-04-18T01:20:00.00Z</dcterms:modified>
  <cp:revision>5</cp:revision>
</cp:coreProperties>
</file>